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A40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7060ED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F1E8B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379888D" w14:textId="764F5A55" w:rsidR="004B553E" w:rsidRPr="00FF1020" w:rsidRDefault="00592DCC" w:rsidP="008C171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878726A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2FCA17F6" w14:textId="7C8AAC6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12A0B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12A0B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1B254F3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E73F2B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1345C7D" w14:textId="77777777" w:rsidR="004B553E" w:rsidRPr="00FF1020" w:rsidRDefault="00B25E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F39DF">
              <w:rPr>
                <w:rFonts w:ascii="Times New Roman" w:hAnsi="Times New Roman" w:cs="Times New Roman"/>
                <w:b/>
                <w:sz w:val="20"/>
                <w:szCs w:val="20"/>
              </w:rPr>
              <w:t>Ritmičke i plesne strukture u ranom i predškolskom odgoju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0CCC56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ABD0D41" w14:textId="77777777" w:rsidR="004B553E" w:rsidRPr="00FF1020" w:rsidRDefault="00C86F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3023A08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171BC0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3482D65" w14:textId="77777777" w:rsidR="004B553E" w:rsidRPr="00FF1020" w:rsidRDefault="00B25E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Diplomski sveučilišni studij ranog i predškolskog odgoja i obrazovanja</w:t>
            </w:r>
          </w:p>
        </w:tc>
      </w:tr>
      <w:tr w:rsidR="004B553E" w:rsidRPr="00FF1020" w14:paraId="097469D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779238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D554EC9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/>
            </w:sdt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4010504"/>
              </w:sdtPr>
              <w:sdtEndPr/>
              <w:sdtContent>
                <w:r w:rsidR="00B25EE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25EE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preddiplomski </w:t>
            </w:r>
          </w:p>
        </w:tc>
        <w:tc>
          <w:tcPr>
            <w:tcW w:w="1531" w:type="dxa"/>
            <w:gridSpan w:val="8"/>
          </w:tcPr>
          <w:p w14:paraId="6CBC2CD7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1724010502"/>
                          </w:sdtPr>
                          <w:sdtEndPr/>
                          <w:sdtContent>
                            <w:r w:rsidR="00B25EED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111A50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D2B193F" w14:textId="77777777" w:rsidR="004B553E" w:rsidRPr="00FF1020" w:rsidRDefault="005B0D2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64D7E2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20D42C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1C7DF27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BC8B59B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5"/>
                  </w:sdtPr>
                  <w:sdtEndPr/>
                  <w:sdtContent>
                    <w:r w:rsidR="008C171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DEBDE5C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CBE7493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8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499"/>
                      </w:sdtPr>
                      <w:sdtEndPr/>
                      <w:sdtContent>
                        <w:r w:rsidR="008C1717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18AD657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C764DC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5ED810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37AB258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518AF8A" w14:textId="77777777" w:rsidR="004B553E" w:rsidRPr="00FF1020" w:rsidRDefault="005B0D2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F13053F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7BCF9A2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7C19B16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9676FA9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7"/>
                  </w:sdtPr>
                  <w:sdtEndPr/>
                  <w:sdtContent>
                    <w:r w:rsidR="008C171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3389F9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440FEA8" w14:textId="77777777" w:rsidR="004B553E" w:rsidRPr="00FF1020" w:rsidRDefault="005B0D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42F0A3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925722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62581A6" w14:textId="77777777" w:rsidR="00393964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7EBB664" w14:textId="77777777" w:rsidR="00393964" w:rsidRPr="00FF1020" w:rsidRDefault="005B0D2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0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8C0E22F" w14:textId="77777777" w:rsidR="00393964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AB20655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AA9BBE1" w14:textId="77777777" w:rsidR="00393964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C9967C7" w14:textId="77777777" w:rsidR="00393964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5A8ED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BA8DB4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7F0AB60" w14:textId="77777777"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76EB5C7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E470BDC" w14:textId="77777777" w:rsidR="00453362" w:rsidRPr="00FF1020" w:rsidRDefault="00C86FD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469ECD7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53D2033" w14:textId="77777777"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250939C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DFADE7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362EA9" w14:textId="77777777" w:rsidR="00453362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F770E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CB4B45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C306828" w14:textId="77777777" w:rsidR="00C86FDC" w:rsidRPr="00FF1020" w:rsidRDefault="00C86FDC" w:rsidP="00012A0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818BE5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84AFA73" w14:textId="77777777" w:rsidR="00453362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65DFF04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57CE6A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3A8D8CC" w14:textId="3C126E8C" w:rsidR="00453362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012A0B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.02.202</w:t>
            </w:r>
            <w:r w:rsidR="00012A0B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F92054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FE1D965" w14:textId="5E5B5A93" w:rsidR="00453362" w:rsidRPr="00FF1020" w:rsidRDefault="00012A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</w:t>
            </w:r>
            <w:r w:rsidR="00C86FDC">
              <w:rPr>
                <w:rFonts w:ascii="Merriweather" w:hAnsi="Merriweather" w:cs="Times New Roman"/>
                <w:sz w:val="18"/>
              </w:rPr>
              <w:t>.06.202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34B92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0CF1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EA24C08" w14:textId="77777777" w:rsidR="00453362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</w:t>
            </w:r>
          </w:p>
        </w:tc>
      </w:tr>
      <w:tr w:rsidR="00453362" w:rsidRPr="00FF1020" w14:paraId="224122D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531601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14:paraId="52828415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37E32219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F9FDA32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86FDC" w:rsidRPr="00FF1020" w14:paraId="42B01070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74120440" w14:textId="77777777"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7239F74B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4D0F5C1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03D81FA" w14:textId="36EB55CE" w:rsidR="00C86FDC" w:rsidRPr="00FF1020" w:rsidRDefault="0017798A" w:rsidP="00C86FD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86FDC" w:rsidRPr="00FF1020" w14:paraId="4F52F8E5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77737080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22AFDA35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86FDC" w:rsidRPr="00FF1020" w14:paraId="097F36F2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3D235AA2" w14:textId="77777777"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1058D2D8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A9D61B7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6FF4177" w14:textId="36526EBC" w:rsidR="00C86FDC" w:rsidRPr="00FF1020" w:rsidRDefault="0017798A" w:rsidP="00C86FD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86FDC" w:rsidRPr="00FF1020" w14:paraId="61DD6E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06B84AE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7CDEBD6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14:paraId="619BEBA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F24936" w14:textId="77777777"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7EF4FF2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DABAA6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3753F0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14:paraId="3993DA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ACAB8E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C3E3569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14:paraId="383FD5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29CD86" w14:textId="77777777"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BE97EB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8D71786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EAE1A9D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14:paraId="7D07744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FF87C0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14:paraId="28B74E7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04324A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60A15C8" w14:textId="77777777" w:rsidR="00C86FDC" w:rsidRPr="00FF1020" w:rsidRDefault="005B0D2B" w:rsidP="00C86F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6"/>
              </w:sdtPr>
              <w:sdtEndPr/>
              <w:sdtContent>
                <w:r w:rsidR="00C86F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86FDC">
              <w:rPr>
                <w:rFonts w:ascii="Merriweather" w:hAnsi="Merriweather" w:cs="Times New Roman"/>
                <w:sz w:val="18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1BF2456B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85DD058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7"/>
              </w:sdtPr>
              <w:sdtEndPr/>
              <w:sdtContent>
                <w:r w:rsidR="00C86F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20E9BD6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57D0862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C86FDC" w:rsidRPr="00FF1020" w14:paraId="57AB698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49811D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EAFCFA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AF7F74B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5D6F334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23CEE93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69971B1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6FDC" w:rsidRPr="00FF1020" w14:paraId="709D58B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5FCD5F5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FA8F764" w14:textId="77777777" w:rsidR="00B25EED" w:rsidRDefault="00B25EED" w:rsidP="00B25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14:paraId="00277393" w14:textId="77777777" w:rsidR="00B25EED" w:rsidRPr="00EF39DF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EF39DF">
              <w:rPr>
                <w:rFonts w:ascii="Times New Roman" w:hAnsi="Times New Roman" w:cs="Times New Roman"/>
                <w:sz w:val="18"/>
              </w:rPr>
              <w:t xml:space="preserve">Demonstrirati temeljno poznavanje  sadržaja koji proizlaze iz programa tjelesne i zdravstvene kulture, a odnose se na ritmičke i plesne strukture . </w:t>
            </w:r>
          </w:p>
          <w:p w14:paraId="04898361" w14:textId="77777777" w:rsidR="00B25EED" w:rsidRPr="00EF39DF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EF39DF">
              <w:rPr>
                <w:rFonts w:ascii="Times New Roman" w:hAnsi="Times New Roman" w:cs="Times New Roman"/>
                <w:sz w:val="18"/>
              </w:rPr>
              <w:t xml:space="preserve">Razviti sposobnost za samostalnu organizaciju i  provođenje kinezioloških aktivnosti u okviru predškolskog odgojno- obrazovnog procesa. </w:t>
            </w:r>
          </w:p>
          <w:p w14:paraId="2A81E3D4" w14:textId="77777777" w:rsidR="00B25EED" w:rsidRPr="00EF39DF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EF39DF">
              <w:rPr>
                <w:rFonts w:ascii="Times New Roman" w:hAnsi="Times New Roman" w:cs="Times New Roman"/>
                <w:sz w:val="18"/>
              </w:rPr>
              <w:t xml:space="preserve">Demonstrirati znanja za učinkovito i efikasno provođenje ritmičkih i plesnih kinezioloških sadržaja u skladu sa razvojnim značajkama djeteta. </w:t>
            </w:r>
          </w:p>
          <w:p w14:paraId="540DF7B8" w14:textId="77777777" w:rsidR="00B25EED" w:rsidRPr="00EF39DF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EF39DF">
              <w:rPr>
                <w:rFonts w:ascii="Times New Roman" w:hAnsi="Times New Roman" w:cs="Times New Roman"/>
                <w:sz w:val="18"/>
              </w:rPr>
              <w:t>Demonstrirati znanja o osnovnim ritmičkim i plesnim strukturama i metodskim postupcima usvajanja; koje se primjenjuju u predškolskom uzrastu, a kod djece omogućuju stvaralačko izražavanje pokretom i plesom.</w:t>
            </w:r>
          </w:p>
          <w:p w14:paraId="36E52E3D" w14:textId="77777777" w:rsidR="00B25EED" w:rsidRPr="008B5456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lastRenderedPageBreak/>
              <w:t>Pokazivati razumijevanje utjecaja tjelesnog vježbanja na zdravlje djeteta</w:t>
            </w:r>
          </w:p>
          <w:p w14:paraId="112BBAF8" w14:textId="77777777" w:rsidR="00B25EED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 xml:space="preserve">Prilagoditi kineziološke operatore dobi, motoričkim i funkcionalnim sposobnostima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5B089A5" w14:textId="77777777" w:rsidR="00C86FDC" w:rsidRPr="00B25EED" w:rsidRDefault="00B25EED" w:rsidP="00B25EE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B25EED">
              <w:rPr>
                <w:rFonts w:ascii="Times New Roman" w:hAnsi="Times New Roman" w:cs="Times New Roman"/>
                <w:sz w:val="18"/>
              </w:rPr>
              <w:t>Planirati kineziološke aktivnosti s ciljem pozitivnog utjecaja na morfološki, motorički i funkcionalni status</w:t>
            </w:r>
          </w:p>
        </w:tc>
      </w:tr>
      <w:tr w:rsidR="00C86FDC" w:rsidRPr="00FF1020" w14:paraId="10BC20F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F60E275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2DC8017" w14:textId="77777777" w:rsidR="00B25EED" w:rsidRPr="00BD05D2" w:rsidRDefault="00B25EED" w:rsidP="00B25EED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5D2">
              <w:rPr>
                <w:rFonts w:ascii="Times New Roman" w:hAnsi="Times New Roman" w:cs="Times New Roman"/>
                <w:sz w:val="18"/>
              </w:rPr>
              <w:t>Nakon završenog studija studenti će:</w:t>
            </w:r>
          </w:p>
          <w:p w14:paraId="002AC72E" w14:textId="77777777" w:rsidR="00B25EED" w:rsidRPr="00BD05D2" w:rsidRDefault="00B25EED" w:rsidP="00B25E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5D2">
              <w:rPr>
                <w:rFonts w:ascii="Times New Roman" w:hAnsi="Times New Roman" w:cs="Times New Roman"/>
                <w:sz w:val="18"/>
              </w:rPr>
              <w:t>opisati i pokazati kineziološke operatore u svrhu unaprjeđenja motoričke, funkcionalne i kognitivne sposobnosti djece</w:t>
            </w:r>
          </w:p>
          <w:p w14:paraId="0427D481" w14:textId="77777777" w:rsidR="00B25EED" w:rsidRPr="00BD05D2" w:rsidRDefault="00B25EED" w:rsidP="00B25E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5D2">
              <w:rPr>
                <w:rFonts w:ascii="Times New Roman" w:hAnsi="Times New Roman" w:cs="Times New Roman"/>
                <w:sz w:val="18"/>
              </w:rPr>
              <w:t xml:space="preserve">primijeniti različite metode poučavanja ovisno o mogućnostima i razvojnoj dimenziji djeteta </w:t>
            </w:r>
          </w:p>
          <w:p w14:paraId="07101376" w14:textId="77777777" w:rsidR="00B25EED" w:rsidRPr="00BD05D2" w:rsidRDefault="00B25EED" w:rsidP="00B25E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D05D2">
              <w:rPr>
                <w:rFonts w:ascii="Times New Roman" w:hAnsi="Times New Roman" w:cs="Times New Roman"/>
                <w:sz w:val="18"/>
              </w:rPr>
              <w:t>prepoznati specifične potrebe učenika koji su uvjetovani njihovom različitošću i posebnostima na individualnoj razini.</w:t>
            </w:r>
          </w:p>
          <w:p w14:paraId="0EC7595E" w14:textId="77777777" w:rsidR="00C86FDC" w:rsidRPr="004D2C18" w:rsidRDefault="00B25EED" w:rsidP="00B25E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18"/>
              </w:rPr>
              <w:t>provoditi istraživanja u funkciji unaprjeđenja struke, uvažavajući Etički kodeks istraživanja s djecom.</w:t>
            </w:r>
          </w:p>
        </w:tc>
      </w:tr>
      <w:tr w:rsidR="00C86FDC" w:rsidRPr="00FF1020" w14:paraId="672EC00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C4A3DBA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86FDC" w:rsidRPr="00FF1020" w14:paraId="7DAD209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8AB31E" w14:textId="77777777" w:rsidR="00C86FDC" w:rsidRPr="00FF1020" w:rsidRDefault="00C86FD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F062F68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7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559ABF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E1E75DD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19C8F60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E354BE4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86FDC" w:rsidRPr="00FF1020" w14:paraId="384DD3A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C88551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8AF5875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9E146DC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2685545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79BE864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32F4A9A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86FDC" w:rsidRPr="00FF1020" w14:paraId="03E3AB0F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CBE9CF8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7989901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4329D13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3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C08FFB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5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A608539" w14:textId="77777777" w:rsidR="00C86FDC" w:rsidRPr="00FF1020" w:rsidRDefault="005B0D2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86FDC" w:rsidRPr="00FF1020" w14:paraId="62D1125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0261FA3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988B1A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341D4AF3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86FDC" w:rsidRPr="00FF1020" w14:paraId="4DE9477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B940B7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2F46D4C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611B4A9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7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04C65C7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86FDC" w:rsidRPr="00FF1020" w14:paraId="12797D6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967F867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13C2A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E5E12AA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FEE3E5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14:paraId="58F672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CC3DD1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B6C68A0" w14:textId="77777777" w:rsidR="00C86FDC" w:rsidRPr="00FF1020" w:rsidRDefault="00B25EED" w:rsidP="001779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ritmičkim i plesnim strukturama </w:t>
            </w: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primjenjivi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u radu sa djecom predškolske dobi.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Kroz kolegij studenti usvajaju i usavršavaju temeljna teorijska i praktična kineziološka znanja, usvajaju metodičke postupke primjenom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jednostavnijih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metodičkih organizacijskih oblika rada,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određeni fond motoričkih informacija neophodnih za realizaciju adekvatnih kinezioloških postupaka kojima se utječe na morfološka obilježja, te motoričke i funkcionalne sposobnosti predškolske djece.</w:t>
            </w:r>
          </w:p>
        </w:tc>
      </w:tr>
      <w:tr w:rsidR="00C86FDC" w:rsidRPr="00FF1020" w14:paraId="519352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976BCB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90F092A" w14:textId="77777777" w:rsidR="00B25EED" w:rsidRPr="008B5456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Uvodno predavanje- sadržaj, ciljevi</w:t>
            </w:r>
          </w:p>
          <w:p w14:paraId="40DF4F80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Osnovna obilježja ple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ritma i ritmičke gimnastike</w:t>
            </w:r>
          </w:p>
          <w:p w14:paraId="51F9AC2A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Utjecaj plesa 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na antropološki status djece </w:t>
            </w:r>
          </w:p>
          <w:p w14:paraId="724EB480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Antropološki, odgojni i obrazovni zadaci plesnih struktura</w:t>
            </w:r>
          </w:p>
          <w:p w14:paraId="506F8C42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Metode i principi rada u obradi ritmičkih i plesnih struktura</w:t>
            </w:r>
          </w:p>
          <w:p w14:paraId="6264A042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Poznavanje tradicijskih narodnih plesova</w:t>
            </w:r>
          </w:p>
          <w:p w14:paraId="4964ED7A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plesne igre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F73192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Plesne i ritmičke strukture uz primjenu različitih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ekvizita (lopta, vijača i sl.)</w:t>
            </w:r>
          </w:p>
          <w:p w14:paraId="09357620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Dječji plesovi i njihova podjela prema uzrasnim dobima i plesnim karakt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eristikama</w:t>
            </w:r>
          </w:p>
          <w:p w14:paraId="6301530F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edinačne i skupne koreografije</w:t>
            </w:r>
          </w:p>
          <w:p w14:paraId="44DC5172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Aerobika za djecu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2D6AF0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hnike elemenata dječje aerobike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6C61F1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Metodički postupci usva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janja elemenata dječje aerobike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F60B7B" w14:textId="77777777" w:rsid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Ritmika i dijete</w:t>
            </w: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23389E" w14:textId="77777777" w:rsidR="00C86FDC" w:rsidRPr="00B25EED" w:rsidRDefault="00B25EED" w:rsidP="00B25EED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25EED">
              <w:rPr>
                <w:rFonts w:ascii="Times New Roman" w:hAnsi="Times New Roman" w:cs="Times New Roman"/>
                <w:sz w:val="20"/>
                <w:szCs w:val="20"/>
              </w:rPr>
              <w:t>Organizacija i provedba priredbe</w:t>
            </w:r>
          </w:p>
          <w:p w14:paraId="1C3FAB17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C86FDC" w:rsidRPr="00FF1020" w14:paraId="60F3CF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DE0FDF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113AAF7" w14:textId="77777777" w:rsidR="00B25EED" w:rsidRDefault="00B25EED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Jasenka Wolf-Cvitak (2004). Ritmička gimnastika.Kugler, d.o.o. Zagreb</w:t>
            </w:r>
          </w:p>
          <w:p w14:paraId="1F238462" w14:textId="77777777" w:rsidR="006417DF" w:rsidRDefault="006417DF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 xml:space="preserve">Neljak, B. (2009). Kineziološka metodika u predškolskom odgoju,Zagreb </w:t>
            </w:r>
          </w:p>
          <w:p w14:paraId="5A928E1C" w14:textId="3B073907" w:rsidR="00B25EED" w:rsidRDefault="00B25EED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Srhoj, Lj. i Miletić, Đ. (2000). Plesne strukture, Fakultet prirodoslovno-matematičkih znanosti i odgojnih područja Sveučilišta u Splitu, Zavod za Fizičku kulturu, Split</w:t>
            </w:r>
          </w:p>
          <w:p w14:paraId="43C15C89" w14:textId="77777777" w:rsidR="00DD5E36" w:rsidRPr="00DD5E36" w:rsidRDefault="00DD5E36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Knežević, G. (2010). Naše kolo veliko. Ethno d. o. o. Zagreb.</w:t>
            </w:r>
          </w:p>
          <w:p w14:paraId="3C9A3FFC" w14:textId="1EBF44F0" w:rsidR="00B25EED" w:rsidRDefault="00B25EED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Cetinić, J</w:t>
            </w:r>
            <w:r w:rsidR="00641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 xml:space="preserve"> i Vidaković Samaržija, D (2011). Ples kao sredstvo izražavanja djece predškolske dobi Međunarodni znanstveno-stručni skup „Dijete i estetski izričaji“ od 13-14. svibnja.</w:t>
            </w:r>
          </w:p>
          <w:p w14:paraId="04956A36" w14:textId="77777777" w:rsidR="00B25EED" w:rsidRDefault="00B25EED" w:rsidP="00B25E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Horvatin-Fučkar, Maja; Tkalčić, Sonja; Jerković, Stjepan (2004.). Razvoj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bazičnih motoričkih sposobnosti kod predškolaca u plesnoj školi. 3.International Symposium; A child in motion”; / Pišot, R., Štemberger V., Zurc,J., Obid, A. (ur.). - Koper: Univerza na Primorskem, Znanstveno-raziskovalno središče Koper, 2004. 87, 8 pages</w:t>
            </w:r>
          </w:p>
          <w:p w14:paraId="5EC25997" w14:textId="5D81543A" w:rsidR="00C86FDC" w:rsidRPr="00DD5E36" w:rsidRDefault="00C86FDC" w:rsidP="00DD5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DC" w:rsidRPr="00FF1020" w14:paraId="6D6E97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5F923F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91D0F9F" w14:textId="77777777" w:rsidR="006417DF" w:rsidRDefault="006417DF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Janković, I. (2010). Umjetnost pokreta i plesa u predškolskoj dobi: plesno ritmički odgoj.</w:t>
            </w:r>
            <w:r w:rsidRPr="006417DF">
              <w:rPr>
                <w:rFonts w:ascii="Times New Roman" w:hAnsi="Times New Roman" w:cs="Times New Roman"/>
                <w:sz w:val="20"/>
                <w:szCs w:val="20"/>
              </w:rPr>
              <w:br/>
              <w:t>Zagreb: Agencija za odgoj i obrazovanje.</w:t>
            </w:r>
          </w:p>
          <w:p w14:paraId="617A2465" w14:textId="694E3A3C" w:rsidR="00B25EED" w:rsidRPr="00BD05D2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Vlašić, J., Oreb, G., Horvatin-Fučkar, M. (2007.). Prednosti primjene plesa u radu s djecom predškolske dobi. U M. Andrijašević (ur.), Sport za sve u funkciji unapređenja kvalitete života (str. 239-244). Zagreb: Kineziološki fakultet Sveučilišta u Zagrebu.</w:t>
            </w:r>
          </w:p>
          <w:p w14:paraId="25D328A9" w14:textId="77777777" w:rsidR="00B25EED" w:rsidRPr="00BD05D2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Jakovljević, T. (2009). Dečije igre kao model folklorne komunikacije, Etnološka istraživanja,Vol 1 no 14; 31-50.</w:t>
            </w:r>
          </w:p>
          <w:p w14:paraId="30CB9970" w14:textId="5E567CF9" w:rsidR="00B25EED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Bonacin, D., Bonacin, D., Rokvić O. (2010). Strukturalne promjene motoričkih značajki kod predškolske djece pod utjecajem plesnih sadržaja, 2nd International Scientific Conference "Anthropological aspects of sport, physical education and recreation" Banja Luka</w:t>
            </w:r>
          </w:p>
          <w:p w14:paraId="37054BBA" w14:textId="7FA3739C" w:rsidR="006417DF" w:rsidRPr="00BD05D2" w:rsidRDefault="006417DF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Vlašić, J., Čačković, L., Oreb, G- (2016). Plesno stvaralaštvo u predškolskoj dobi. U V. Findak (Ur.) Zbornik radova 25. ljetne škole kineziologa Republike Hrvatske, Poreč, 2016, „Kineziologija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i područja edukacije, sporta, sportske rekreacije i kineziterapije u razvitku hrvatskog društva.“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(str. 755-760). Zagreb: Hrvatski kineziološki savez.</w:t>
            </w:r>
          </w:p>
          <w:p w14:paraId="1E4BAF8D" w14:textId="77777777" w:rsidR="00B25EED" w:rsidRPr="00BD05D2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Herljević,I. (2007). Govor, ritam, pokret. Lekenik : Ostvarenje.</w:t>
            </w:r>
          </w:p>
          <w:p w14:paraId="589A6A8B" w14:textId="77777777" w:rsidR="00B25EED" w:rsidRPr="00BD05D2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Srhoj, Lj., Đ. Miletić (2001.). Povezanost nekih motoričkih sposobnosti i uspjeha u ritmičkoj gimnastici i plesu. Zbornik radova 10. ljetne škole pedagoga fizičke kulture Republike Hrvatske, strana 143. Poreč, 24. do 28. lipnja 2001.</w:t>
            </w:r>
          </w:p>
          <w:p w14:paraId="36F64AC9" w14:textId="77777777" w:rsidR="00B25EED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5D2">
              <w:rPr>
                <w:rFonts w:ascii="Times New Roman" w:hAnsi="Times New Roman" w:cs="Times New Roman"/>
                <w:sz w:val="20"/>
                <w:szCs w:val="20"/>
              </w:rPr>
              <w:t>Ladešić, S, Mrgan, J ( 2007). Ples u realizaciji antropoloških zadaća tjelesne  i zdravstvene kulture, 16 ljetna škola kineziologa, 306-309</w:t>
            </w:r>
          </w:p>
          <w:p w14:paraId="219FD744" w14:textId="77777777" w:rsidR="00B25EED" w:rsidRPr="00D23CE8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Batllori J., S. Fontán, E. Lozano (2008). Velika knjiga igara 2 – 250 najboljih igara za svaku dob. Zagreb: Profil International.</w:t>
            </w:r>
          </w:p>
          <w:p w14:paraId="0C1201CE" w14:textId="77777777" w:rsidR="00B25EED" w:rsidRPr="00D23CE8" w:rsidRDefault="00B25EED" w:rsidP="00B2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Günther, T. (2007). 1000 zabavnih igara. Zagreb: Mozaik knjiga.</w:t>
            </w:r>
          </w:p>
          <w:p w14:paraId="57F61B8B" w14:textId="77777777" w:rsidR="00C86FDC" w:rsidRDefault="00B25EED" w:rsidP="00DD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Martin, L. (2004). Igre od glave do pete. Zagreb: Profil International – biblioteka Zvrk.</w:t>
            </w:r>
          </w:p>
          <w:p w14:paraId="7FDB28B2" w14:textId="77777777" w:rsidR="00DD5E36" w:rsidRPr="006417DF" w:rsidRDefault="00DD5E36" w:rsidP="00DD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Trojko, J. (2011). Metodika poučavanja elemenata tehnike ritmičke gimnastike sa rekvizitima za djecu predškolske dobi. (Diplomski rad). Zagreb: Kineziološki fakultet Sveučilišta u Zagrebu</w:t>
            </w:r>
          </w:p>
          <w:p w14:paraId="5399AB70" w14:textId="4E76AFB1" w:rsidR="00DD5E36" w:rsidRPr="006417DF" w:rsidRDefault="00DD5E36" w:rsidP="00DD5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>Jakovljević, T. (2009). Dečije igre kao model folklorne komunikacije. Etnološka</w:t>
            </w:r>
            <w:r w:rsidR="00641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7DF">
              <w:rPr>
                <w:rFonts w:ascii="Times New Roman" w:hAnsi="Times New Roman" w:cs="Times New Roman"/>
                <w:sz w:val="20"/>
                <w:szCs w:val="20"/>
              </w:rPr>
              <w:t xml:space="preserve">istraživanja, No.14 Prosinac 2009. Preuzeto </w:t>
            </w:r>
            <w:hyperlink r:id="rId8" w:history="1">
              <w:r w:rsidR="006417DF" w:rsidRPr="007E1E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http://hrcak.srce.hr/index.php?show=clanak&amp;id_clanak_jezik=68728&amp;lang=h</w:t>
              </w:r>
            </w:hyperlink>
          </w:p>
          <w:p w14:paraId="103C1E99" w14:textId="2AC46A5B" w:rsidR="006417DF" w:rsidRPr="00DD5E36" w:rsidRDefault="006417DF" w:rsidP="00641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DC" w:rsidRPr="00FF1020" w14:paraId="20A002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AD0030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5ED032E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86FDC" w:rsidRPr="00FF1020" w14:paraId="4ACDF03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58A2694" w14:textId="77777777" w:rsidR="00C86FDC" w:rsidRPr="00FF1020" w:rsidRDefault="00C86FD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FF6D5D5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B760C99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86FDC" w:rsidRPr="00FF1020" w14:paraId="4C45136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986703C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58C955A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D4A5238" w14:textId="77777777"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74114D9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6C98EE4" w14:textId="77777777"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D7B944D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1"/>
                  </w:sdtPr>
                  <w:sdtEndPr/>
                  <w:sdtContent>
                    <w:r w:rsidR="00AF2E7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8F50EC9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86FDC" w:rsidRPr="00FF1020" w14:paraId="1FED6C7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10737B5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CF0DEF0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FA58245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B8345D1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61A37F8" w14:textId="77777777"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6E20528" w14:textId="77777777" w:rsidR="00C86FDC" w:rsidRPr="00FF1020" w:rsidRDefault="005B0D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7EC7DC2" w14:textId="77777777"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6A17E73" w14:textId="77777777" w:rsidR="00C86FDC" w:rsidRPr="00FF1020" w:rsidRDefault="005B0D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C7CEF19" w14:textId="77777777" w:rsidR="00C86FDC" w:rsidRPr="00FF1020" w:rsidRDefault="005B0D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86FDC" w:rsidRPr="00FF1020" w14:paraId="0CBAE8A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2662D80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4EC6A68" w14:textId="77777777" w:rsidR="00C86FDC" w:rsidRPr="00FF1020" w:rsidRDefault="00AF2E77" w:rsidP="00AF2E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zadaća; 80% pismeni i usmeni završni ispit</w:t>
            </w:r>
          </w:p>
        </w:tc>
      </w:tr>
      <w:tr w:rsidR="00C86FDC" w:rsidRPr="00FF1020" w14:paraId="0C28761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97B41F3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Ocjenjivanje kolokvija 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089E02D6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lastRenderedPageBreak/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30DF9373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86FDC" w:rsidRPr="00FF1020" w14:paraId="499C6C9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7477653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B930E71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39DD90C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86FDC" w:rsidRPr="00FF1020" w14:paraId="6A025B6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0FE9E6C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310463E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263640E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86FDC" w:rsidRPr="00FF1020" w14:paraId="3464FC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7788076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E5221B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55A4DBC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86FDC" w:rsidRPr="00FF1020" w14:paraId="6C93EC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13DD7A8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C870FF6" w14:textId="77777777"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47C3898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86FDC" w:rsidRPr="00FF1020" w14:paraId="610E224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D53C80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C7E9DA4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0727DB0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34CA313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E18FD73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FBFEDAE" w14:textId="77777777" w:rsidR="00C86FDC" w:rsidRPr="00FF1020" w:rsidRDefault="005B0D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6FDC" w:rsidRPr="00FF1020" w14:paraId="7F6ED03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46A1A3" w14:textId="77777777" w:rsidR="00C86FDC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0EB3D6DD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4469E73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439642A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8C4768C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404CA26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6CC0638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C177A31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BB7A090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E978A68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6A5864F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71E45F7" w14:textId="77777777"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936FD1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306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2DF6" w14:textId="77777777" w:rsidR="005B0D2B" w:rsidRDefault="005B0D2B" w:rsidP="009947BA">
      <w:pPr>
        <w:spacing w:before="0" w:after="0"/>
      </w:pPr>
      <w:r>
        <w:separator/>
      </w:r>
    </w:p>
  </w:endnote>
  <w:endnote w:type="continuationSeparator" w:id="0">
    <w:p w14:paraId="06BC7F46" w14:textId="77777777" w:rsidR="005B0D2B" w:rsidRDefault="005B0D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DA56" w14:textId="77777777" w:rsidR="005B0D2B" w:rsidRDefault="005B0D2B" w:rsidP="009947BA">
      <w:pPr>
        <w:spacing w:before="0" w:after="0"/>
      </w:pPr>
      <w:r>
        <w:separator/>
      </w:r>
    </w:p>
  </w:footnote>
  <w:footnote w:type="continuationSeparator" w:id="0">
    <w:p w14:paraId="7FD3A0DB" w14:textId="77777777" w:rsidR="005B0D2B" w:rsidRDefault="005B0D2B" w:rsidP="009947BA">
      <w:pPr>
        <w:spacing w:before="0" w:after="0"/>
      </w:pPr>
      <w:r>
        <w:continuationSeparator/>
      </w:r>
    </w:p>
  </w:footnote>
  <w:footnote w:id="1">
    <w:p w14:paraId="55C98D6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1A4C" w14:textId="4402CB0D" w:rsidR="00FF1020" w:rsidRDefault="006417D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F0256" wp14:editId="5C94656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FD0C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8A28191" wp14:editId="1D51675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F0256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D8FD0C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8A28191" wp14:editId="1D51675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6C3DA7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2A0964A" w14:textId="77777777" w:rsidR="0079745E" w:rsidRDefault="0079745E" w:rsidP="0079745E">
    <w:pPr>
      <w:pStyle w:val="Header"/>
    </w:pPr>
  </w:p>
  <w:p w14:paraId="75B2825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503"/>
    <w:multiLevelType w:val="hybridMultilevel"/>
    <w:tmpl w:val="1C6A7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03A"/>
    <w:multiLevelType w:val="hybridMultilevel"/>
    <w:tmpl w:val="7AF0D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767AF"/>
    <w:multiLevelType w:val="hybridMultilevel"/>
    <w:tmpl w:val="E5D82384"/>
    <w:lvl w:ilvl="0" w:tplc="D8340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2A0B"/>
    <w:rsid w:val="000C0578"/>
    <w:rsid w:val="0010332B"/>
    <w:rsid w:val="001443A2"/>
    <w:rsid w:val="00150B32"/>
    <w:rsid w:val="0017798A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2C18"/>
    <w:rsid w:val="00507C65"/>
    <w:rsid w:val="00527C5F"/>
    <w:rsid w:val="005353ED"/>
    <w:rsid w:val="005514C3"/>
    <w:rsid w:val="00592DCC"/>
    <w:rsid w:val="005B0D2B"/>
    <w:rsid w:val="005E1668"/>
    <w:rsid w:val="005E5F80"/>
    <w:rsid w:val="005F6E0B"/>
    <w:rsid w:val="00613CA4"/>
    <w:rsid w:val="0062328F"/>
    <w:rsid w:val="006417D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1717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06D5"/>
    <w:rsid w:val="00A9132B"/>
    <w:rsid w:val="00AA1A5A"/>
    <w:rsid w:val="00AB53D4"/>
    <w:rsid w:val="00AD23FB"/>
    <w:rsid w:val="00AF2E77"/>
    <w:rsid w:val="00B25EED"/>
    <w:rsid w:val="00B71A57"/>
    <w:rsid w:val="00B7307A"/>
    <w:rsid w:val="00C02454"/>
    <w:rsid w:val="00C3477B"/>
    <w:rsid w:val="00C47084"/>
    <w:rsid w:val="00C85956"/>
    <w:rsid w:val="00C86FDC"/>
    <w:rsid w:val="00C9733D"/>
    <w:rsid w:val="00CA3783"/>
    <w:rsid w:val="00CB23F4"/>
    <w:rsid w:val="00D136E4"/>
    <w:rsid w:val="00D5334D"/>
    <w:rsid w:val="00D5523D"/>
    <w:rsid w:val="00D944DF"/>
    <w:rsid w:val="00DD110C"/>
    <w:rsid w:val="00DD5E36"/>
    <w:rsid w:val="00DE6D53"/>
    <w:rsid w:val="00E06E39"/>
    <w:rsid w:val="00E07D73"/>
    <w:rsid w:val="00E17D18"/>
    <w:rsid w:val="00E30E67"/>
    <w:rsid w:val="00E972FA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E063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D2C18"/>
  </w:style>
  <w:style w:type="character" w:styleId="UnresolvedMention">
    <w:name w:val="Unresolved Mention"/>
    <w:basedOn w:val="DefaultParagraphFont"/>
    <w:uiPriority w:val="99"/>
    <w:semiHidden/>
    <w:unhideWhenUsed/>
    <w:rsid w:val="00DD5E3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64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clanak&amp;id_clanak_jezik=68728&amp;lang=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5689-A6B9-4086-A3A8-B964804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2024-02-23T09:12:00Z</dcterms:created>
  <dcterms:modified xsi:type="dcterms:W3CDTF">2024-02-23T09:12:00Z</dcterms:modified>
</cp:coreProperties>
</file>